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1F7C8" w14:textId="1CA1A068" w:rsidR="009408DF" w:rsidRDefault="009408DF" w:rsidP="006B04DC">
      <w:pPr>
        <w:rPr>
          <w:b/>
          <w:sz w:val="28"/>
          <w:szCs w:val="28"/>
          <w:u w:val="single"/>
        </w:rPr>
      </w:pPr>
      <w:bookmarkStart w:id="0" w:name="_Toc483468232"/>
      <w:r>
        <w:rPr>
          <w:b/>
          <w:noProof/>
          <w:sz w:val="28"/>
          <w:szCs w:val="28"/>
          <w:u w:val="single"/>
          <w:lang w:eastAsia="fr-FR"/>
        </w:rPr>
        <w:drawing>
          <wp:anchor distT="0" distB="0" distL="114300" distR="114300" simplePos="0" relativeHeight="251660288" behindDoc="0" locked="0" layoutInCell="1" allowOverlap="1" wp14:editId="04891EC9">
            <wp:simplePos x="0" y="0"/>
            <wp:positionH relativeFrom="column">
              <wp:posOffset>4290907</wp:posOffset>
            </wp:positionH>
            <wp:positionV relativeFrom="paragraph">
              <wp:posOffset>423</wp:posOffset>
            </wp:positionV>
            <wp:extent cx="1480820" cy="1163320"/>
            <wp:effectExtent l="0" t="0" r="0" b="5080"/>
            <wp:wrapThrough wrapText="bothSides">
              <wp:wrapPolygon edited="0">
                <wp:start x="0" y="0"/>
                <wp:lineTo x="0" y="21223"/>
                <wp:lineTo x="21118" y="21223"/>
                <wp:lineTo x="21118" y="0"/>
                <wp:lineTo x="0" y="0"/>
              </wp:wrapPolygon>
            </wp:wrapThrough>
            <wp:docPr id="3" name="Image 3" descr="Logo_Eau_Foret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au_Foret_20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08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B7DFD" w14:textId="4361DE80" w:rsidR="009408DF" w:rsidRDefault="009408DF" w:rsidP="006B04DC">
      <w:pPr>
        <w:rPr>
          <w:b/>
          <w:sz w:val="28"/>
          <w:szCs w:val="28"/>
          <w:u w:val="single"/>
        </w:rPr>
      </w:pPr>
    </w:p>
    <w:p w14:paraId="5BD6268A" w14:textId="6AE1D57A" w:rsidR="006B04DC" w:rsidRPr="006B04DC" w:rsidRDefault="006B04DC" w:rsidP="006B04DC">
      <w:pPr>
        <w:rPr>
          <w:b/>
          <w:sz w:val="28"/>
          <w:szCs w:val="28"/>
          <w:u w:val="single"/>
        </w:rPr>
      </w:pPr>
      <w:r w:rsidRPr="006B04DC">
        <w:rPr>
          <w:b/>
          <w:sz w:val="28"/>
          <w:szCs w:val="28"/>
          <w:u w:val="single"/>
        </w:rPr>
        <w:t>Proposition de texte pour Plan de gestion</w:t>
      </w:r>
    </w:p>
    <w:p w14:paraId="1B6EBB0C" w14:textId="77777777" w:rsidR="009408DF" w:rsidRDefault="009408DF" w:rsidP="006B04DC">
      <w:pPr>
        <w:pStyle w:val="Titre2"/>
      </w:pPr>
    </w:p>
    <w:p w14:paraId="020A6D6A" w14:textId="77777777" w:rsidR="009408DF" w:rsidRDefault="009408DF" w:rsidP="006B04DC">
      <w:pPr>
        <w:pStyle w:val="Titre2"/>
      </w:pPr>
    </w:p>
    <w:p w14:paraId="41916B07" w14:textId="49E32AF0" w:rsidR="006B04DC" w:rsidRPr="006B04DC" w:rsidRDefault="006B04DC" w:rsidP="006B04DC">
      <w:pPr>
        <w:pStyle w:val="Titre2"/>
      </w:pPr>
      <w:r>
        <w:t>La p</w:t>
      </w:r>
      <w:r w:rsidRPr="006B04DC">
        <w:t>rotection des eaux souterraines</w:t>
      </w:r>
      <w:bookmarkEnd w:id="0"/>
    </w:p>
    <w:p w14:paraId="02C3BECB" w14:textId="77777777" w:rsidR="006B04DC" w:rsidRPr="00B87A0B" w:rsidRDefault="006B04DC" w:rsidP="006B04DC">
      <w:pPr>
        <w:spacing w:after="120"/>
        <w:rPr>
          <w:rFonts w:cs="Arial"/>
          <w:bCs/>
          <w:sz w:val="22"/>
          <w:szCs w:val="22"/>
        </w:rPr>
      </w:pPr>
      <w:r w:rsidRPr="00B87A0B">
        <w:rPr>
          <w:rFonts w:cs="Arial"/>
          <w:bCs/>
          <w:sz w:val="22"/>
          <w:szCs w:val="22"/>
        </w:rPr>
        <w:t xml:space="preserve">L’eau souterraine provenant de bassins versants boisés est en général d’une qualité telle qu’elle peut être consommée sans traitement. La préservation de cette exceptionnelle capacité de filtre de la forêt est une prestation d’intérêt public majeure pour la société et représente aussi un intérêt économique important pour les distributeurs d’eau. Jusqu’à aujourd’hui, les mesures en faveur de la protection des eaux souterraines sont réalisées sans contact avec les distributeurs d’eau et reposent sur la seule appréciation des forestiers. De fait, les propriétaires forestiers assument les pertes de rendement et les surcoûts qui permettent aux exploitants des captages de bénéficier gratuitement de ce service rendu par les forestiers et la forêt. </w:t>
      </w:r>
    </w:p>
    <w:p w14:paraId="2A7B1DA8" w14:textId="77777777" w:rsidR="006B04DC" w:rsidRPr="00B87A0B" w:rsidRDefault="006B04DC" w:rsidP="006B04DC">
      <w:pPr>
        <w:spacing w:after="120"/>
        <w:rPr>
          <w:rFonts w:cs="Arial"/>
          <w:sz w:val="22"/>
          <w:szCs w:val="22"/>
        </w:rPr>
      </w:pPr>
      <w:r w:rsidRPr="00B87A0B">
        <w:rPr>
          <w:rFonts w:cs="Arial"/>
          <w:sz w:val="22"/>
          <w:szCs w:val="22"/>
        </w:rPr>
        <w:t>Vu les enjeux liés à l’eau potable, le cadre légal mériterait d’être renforcé par un contrat de partenariat entre les acteurs locaux gérant l’usage des biens et services de ces ressources naturelles.</w:t>
      </w:r>
    </w:p>
    <w:p w14:paraId="502D7A71" w14:textId="77777777" w:rsidR="006B04DC" w:rsidRPr="00B87A0B" w:rsidRDefault="006B04DC" w:rsidP="006B04DC">
      <w:pPr>
        <w:spacing w:after="120"/>
        <w:rPr>
          <w:rFonts w:cs="Arial"/>
          <w:sz w:val="22"/>
          <w:szCs w:val="22"/>
        </w:rPr>
      </w:pPr>
      <w:r w:rsidRPr="00B87A0B">
        <w:rPr>
          <w:rFonts w:cs="Arial"/>
          <w:sz w:val="22"/>
          <w:szCs w:val="22"/>
        </w:rPr>
        <w:t xml:space="preserve">Dans le périmètre du </w:t>
      </w:r>
      <w:r w:rsidR="00104C14" w:rsidRPr="00B87A0B">
        <w:rPr>
          <w:rFonts w:cs="Arial"/>
          <w:sz w:val="22"/>
          <w:szCs w:val="22"/>
        </w:rPr>
        <w:t>Plan de gestion</w:t>
      </w:r>
      <w:r w:rsidRPr="00B87A0B">
        <w:rPr>
          <w:rFonts w:cs="Arial"/>
          <w:sz w:val="22"/>
          <w:szCs w:val="22"/>
        </w:rPr>
        <w:t xml:space="preserve">, les forêts de </w:t>
      </w:r>
      <w:r w:rsidR="00104C14" w:rsidRPr="00B87A0B">
        <w:rPr>
          <w:rFonts w:cs="Arial"/>
          <w:sz w:val="22"/>
          <w:szCs w:val="22"/>
        </w:rPr>
        <w:t>…………………………..</w:t>
      </w:r>
      <w:r w:rsidRPr="00B87A0B">
        <w:rPr>
          <w:rFonts w:cs="Arial"/>
          <w:sz w:val="22"/>
          <w:szCs w:val="22"/>
        </w:rPr>
        <w:t>comptent de nombreux captages et zones de protection des eaux souterraines (</w:t>
      </w:r>
      <w:r w:rsidR="00104C14" w:rsidRPr="00B87A0B">
        <w:rPr>
          <w:rFonts w:cs="Arial"/>
          <w:sz w:val="22"/>
          <w:szCs w:val="22"/>
        </w:rPr>
        <w:t>inclure une carte</w:t>
      </w:r>
      <w:r w:rsidRPr="00B87A0B">
        <w:rPr>
          <w:rFonts w:cs="Arial"/>
          <w:sz w:val="22"/>
          <w:szCs w:val="22"/>
        </w:rPr>
        <w:t>).</w:t>
      </w:r>
    </w:p>
    <w:p w14:paraId="7BBF2BAC" w14:textId="4888534F" w:rsidR="006B04DC" w:rsidRDefault="006B04DC" w:rsidP="00B87A0B">
      <w:pPr>
        <w:pStyle w:val="Titre3"/>
        <w:ind w:left="0"/>
      </w:pPr>
      <w:bookmarkStart w:id="1" w:name="_Toc483468233"/>
      <w:r>
        <w:t>Exigences légales</w:t>
      </w:r>
      <w:bookmarkEnd w:id="1"/>
    </w:p>
    <w:p w14:paraId="6FFB5187" w14:textId="77777777" w:rsidR="006B04DC" w:rsidRPr="00B87A0B" w:rsidRDefault="006B04DC" w:rsidP="00B87A0B">
      <w:pPr>
        <w:spacing w:after="120"/>
        <w:rPr>
          <w:sz w:val="22"/>
          <w:szCs w:val="22"/>
        </w:rPr>
      </w:pPr>
      <w:r w:rsidRPr="00B87A0B">
        <w:rPr>
          <w:sz w:val="22"/>
          <w:szCs w:val="22"/>
        </w:rPr>
        <w:t>L’exploitation forestière est considérée comme une activité peu risquée pour les eaux souterraines. Cependant, certaines activités ou interventions, défrichements, coupes rases, l’entreposage du bois, construction de chemins forestiers, utilisation de produits phytosanitaires pour la conservation du bois, la contamination des sols par les hydrocarbures (machines) constituent une menace non négligeable pour les eaux souterraines. </w:t>
      </w:r>
    </w:p>
    <w:p w14:paraId="1773A58D" w14:textId="73952B41" w:rsidR="006B04DC" w:rsidRDefault="006B04DC" w:rsidP="00B87A0B">
      <w:pPr>
        <w:rPr>
          <w:sz w:val="22"/>
          <w:szCs w:val="22"/>
        </w:rPr>
      </w:pPr>
      <w:r w:rsidRPr="00B87A0B">
        <w:rPr>
          <w:sz w:val="22"/>
          <w:szCs w:val="22"/>
        </w:rPr>
        <w:t>Les tableaux ci-dessous résument les exigences légales par zone de protection des eaux souterraines (</w:t>
      </w:r>
      <w:r w:rsidRPr="00567EFB">
        <w:rPr>
          <w:i/>
          <w:sz w:val="22"/>
          <w:szCs w:val="22"/>
        </w:rPr>
        <w:t xml:space="preserve">Source : </w:t>
      </w:r>
      <w:r w:rsidRPr="00567EFB">
        <w:rPr>
          <w:rFonts w:eastAsia="Cambria"/>
          <w:i/>
          <w:sz w:val="22"/>
          <w:szCs w:val="22"/>
        </w:rPr>
        <w:t>Besson A.-L, Baume M., Jenni R. 2007</w:t>
      </w:r>
      <w:r w:rsidR="00567EFB" w:rsidRPr="00567EFB">
        <w:rPr>
          <w:rFonts w:eastAsia="Cambria"/>
          <w:i/>
          <w:sz w:val="22"/>
          <w:szCs w:val="22"/>
        </w:rPr>
        <w:t xml:space="preserve"> : </w:t>
      </w:r>
      <w:r w:rsidR="00567EFB" w:rsidRPr="00567EFB">
        <w:rPr>
          <w:rFonts w:eastAsia="Cambria"/>
          <w:bCs/>
          <w:i/>
          <w:sz w:val="22"/>
          <w:szCs w:val="22"/>
        </w:rPr>
        <w:t>Aspects législatifs de la protection des eaux souterraines en forêt. Projet-pilote de partenariat entre la sylviculture proche de la nature et les distributeurs d’eau potable. Forum broyard de la forêt et du bois. Bureau Nouvelle Forêt Sàrl, Fribourg</w:t>
      </w:r>
      <w:r w:rsidRPr="00B87A0B">
        <w:rPr>
          <w:rFonts w:eastAsia="Cambria"/>
          <w:sz w:val="22"/>
          <w:szCs w:val="22"/>
        </w:rPr>
        <w:t>).</w:t>
      </w:r>
      <w:r w:rsidRPr="00B87A0B">
        <w:rPr>
          <w:sz w:val="22"/>
          <w:szCs w:val="22"/>
        </w:rPr>
        <w:t xml:space="preserve"> Ces exigences proviennent de la Loi sur la protection des eaux, de son ordonnance et de l’ordonnance sur la réduction des risques liés à l’utilisation de substances, de préparations et d’objets partic</w:t>
      </w:r>
      <w:r w:rsidR="00567EFB">
        <w:rPr>
          <w:sz w:val="22"/>
          <w:szCs w:val="22"/>
        </w:rPr>
        <w:t>ulièrement dangereux (ORRChim).</w:t>
      </w:r>
    </w:p>
    <w:p w14:paraId="3CA96309" w14:textId="77777777" w:rsidR="00567EFB" w:rsidRPr="00B87A0B" w:rsidRDefault="00567EFB" w:rsidP="00B87A0B">
      <w:pPr>
        <w:rPr>
          <w:sz w:val="22"/>
          <w:szCs w:val="22"/>
        </w:rPr>
      </w:pPr>
    </w:p>
    <w:p w14:paraId="4AA2CF4A" w14:textId="77777777" w:rsidR="006B04DC" w:rsidRPr="00560455" w:rsidRDefault="006B04DC" w:rsidP="006B04DC">
      <w:pPr>
        <w:ind w:left="426"/>
      </w:pPr>
    </w:p>
    <w:tbl>
      <w:tblPr>
        <w:tblW w:w="0" w:type="auto"/>
        <w:tblInd w:w="450" w:type="dxa"/>
        <w:tblCellMar>
          <w:left w:w="0" w:type="dxa"/>
          <w:right w:w="0" w:type="dxa"/>
        </w:tblCellMar>
        <w:tblLook w:val="04A0" w:firstRow="1" w:lastRow="0" w:firstColumn="1" w:lastColumn="0" w:noHBand="0" w:noVBand="1"/>
      </w:tblPr>
      <w:tblGrid>
        <w:gridCol w:w="8610"/>
      </w:tblGrid>
      <w:tr w:rsidR="006B04DC" w:rsidRPr="00945E32" w14:paraId="3E58DF6C"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2F72525"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Zone S1 (zone captage)</w:t>
            </w:r>
          </w:p>
        </w:tc>
      </w:tr>
      <w:tr w:rsidR="006B04DC" w:rsidRPr="00945E32" w14:paraId="4F325853"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2800A0C"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uniquement autorisés : </w:t>
            </w:r>
          </w:p>
          <w:p w14:paraId="350E6A11"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travaux de construction et les activités servant à l’approvisionnement en eau. </w:t>
            </w:r>
          </w:p>
          <w:p w14:paraId="0507E3D3"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interdits : </w:t>
            </w:r>
          </w:p>
          <w:p w14:paraId="1ABBBA5F"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 l’emploi de </w:t>
            </w:r>
            <w:r w:rsidRPr="00783C65">
              <w:rPr>
                <w:rFonts w:cs="Arial"/>
                <w:b/>
                <w:bCs/>
                <w:sz w:val="20"/>
                <w:szCs w:val="20"/>
                <w:lang w:eastAsia="fr-FR"/>
              </w:rPr>
              <w:t xml:space="preserve">produits pour la conservation du bois </w:t>
            </w:r>
            <w:r w:rsidRPr="00783C65">
              <w:rPr>
                <w:rFonts w:cs="Arial"/>
                <w:sz w:val="20"/>
                <w:szCs w:val="20"/>
                <w:lang w:eastAsia="fr-FR"/>
              </w:rPr>
              <w:t>et l’</w:t>
            </w:r>
            <w:r w:rsidRPr="00783C65">
              <w:rPr>
                <w:rFonts w:cs="Arial"/>
                <w:b/>
                <w:bCs/>
                <w:sz w:val="20"/>
                <w:szCs w:val="20"/>
                <w:lang w:eastAsia="fr-FR"/>
              </w:rPr>
              <w:t xml:space="preserve">entreposage du bois traité </w:t>
            </w:r>
            <w:r w:rsidRPr="00783C65">
              <w:rPr>
                <w:rFonts w:cs="Arial"/>
                <w:sz w:val="20"/>
                <w:szCs w:val="20"/>
                <w:lang w:eastAsia="fr-FR"/>
              </w:rPr>
              <w:t>avec des produits pour la conservation du bois (ORRChim)</w:t>
            </w:r>
            <w:r>
              <w:rPr>
                <w:rFonts w:cs="Arial"/>
                <w:sz w:val="20"/>
                <w:szCs w:val="20"/>
                <w:lang w:eastAsia="fr-FR"/>
              </w:rPr>
              <w:t xml:space="preserve"> </w:t>
            </w:r>
            <w:r w:rsidRPr="00783C65">
              <w:rPr>
                <w:rFonts w:cs="Arial"/>
                <w:sz w:val="20"/>
                <w:szCs w:val="20"/>
                <w:lang w:eastAsia="fr-FR"/>
              </w:rPr>
              <w:t>; </w:t>
            </w:r>
          </w:p>
          <w:p w14:paraId="2EE98224"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 l’emploi de </w:t>
            </w:r>
            <w:r w:rsidRPr="00783C65">
              <w:rPr>
                <w:rFonts w:cs="Arial"/>
                <w:b/>
                <w:bCs/>
                <w:sz w:val="20"/>
                <w:szCs w:val="20"/>
                <w:lang w:eastAsia="fr-FR"/>
              </w:rPr>
              <w:t xml:space="preserve">produits phytosanitaires </w:t>
            </w:r>
            <w:r w:rsidRPr="00783C65">
              <w:rPr>
                <w:rFonts w:cs="Arial"/>
                <w:sz w:val="20"/>
                <w:szCs w:val="20"/>
                <w:lang w:eastAsia="fr-FR"/>
              </w:rPr>
              <w:t>(ORRChim). </w:t>
            </w:r>
          </w:p>
        </w:tc>
      </w:tr>
    </w:tbl>
    <w:p w14:paraId="5973394C" w14:textId="77777777" w:rsidR="006B04DC" w:rsidRDefault="006B04DC" w:rsidP="006B04DC"/>
    <w:tbl>
      <w:tblPr>
        <w:tblW w:w="8771" w:type="dxa"/>
        <w:tblInd w:w="450" w:type="dxa"/>
        <w:tblCellMar>
          <w:left w:w="0" w:type="dxa"/>
          <w:right w:w="0" w:type="dxa"/>
        </w:tblCellMar>
        <w:tblLook w:val="04A0" w:firstRow="1" w:lastRow="0" w:firstColumn="1" w:lastColumn="0" w:noHBand="0" w:noVBand="1"/>
      </w:tblPr>
      <w:tblGrid>
        <w:gridCol w:w="8771"/>
      </w:tblGrid>
      <w:tr w:rsidR="006B04DC" w:rsidRPr="00783C65" w14:paraId="63A5E7FC" w14:textId="77777777" w:rsidTr="00A65A61">
        <w:tc>
          <w:tcPr>
            <w:tcW w:w="8771"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46A0DF3"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Zone S2 (zone de protection rapprochée)</w:t>
            </w:r>
          </w:p>
        </w:tc>
      </w:tr>
      <w:tr w:rsidR="006B04DC" w:rsidRPr="00783C65" w14:paraId="29EEEE93" w14:textId="77777777" w:rsidTr="00A65A61">
        <w:tc>
          <w:tcPr>
            <w:tcW w:w="8771"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EC19E0A" w14:textId="77777777" w:rsidR="006B04DC" w:rsidRPr="00783C65" w:rsidRDefault="006B04DC" w:rsidP="00A65A61">
            <w:pPr>
              <w:jc w:val="left"/>
              <w:rPr>
                <w:rFonts w:cs="Arial"/>
                <w:sz w:val="20"/>
                <w:szCs w:val="20"/>
                <w:lang w:eastAsia="fr-FR"/>
              </w:rPr>
            </w:pPr>
            <w:r w:rsidRPr="00783C65">
              <w:rPr>
                <w:rFonts w:cs="Arial"/>
                <w:sz w:val="20"/>
                <w:szCs w:val="20"/>
                <w:lang w:eastAsia="fr-FR"/>
              </w:rPr>
              <w:t>Exigences de la S3 applicables. </w:t>
            </w:r>
          </w:p>
          <w:p w14:paraId="14D8CA44"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interdits : </w:t>
            </w:r>
          </w:p>
          <w:p w14:paraId="5BD44414" w14:textId="77777777" w:rsidR="006B04DC" w:rsidRPr="00783C65" w:rsidRDefault="006B04DC" w:rsidP="00A65A61">
            <w:pPr>
              <w:jc w:val="left"/>
              <w:rPr>
                <w:rFonts w:cs="Arial"/>
                <w:sz w:val="20"/>
                <w:szCs w:val="20"/>
                <w:lang w:eastAsia="fr-FR"/>
              </w:rPr>
            </w:pPr>
            <w:r w:rsidRPr="00783C65">
              <w:rPr>
                <w:rFonts w:cs="Arial"/>
                <w:sz w:val="20"/>
                <w:szCs w:val="20"/>
                <w:lang w:eastAsia="fr-FR"/>
              </w:rPr>
              <w:t>- la construction d’ouvrage et d’installation ; </w:t>
            </w:r>
          </w:p>
          <w:p w14:paraId="7944A800"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travaux d’excavation, fouilles et autres mouvements de terre</w:t>
            </w:r>
            <w:r>
              <w:rPr>
                <w:rFonts w:cs="Arial"/>
                <w:sz w:val="20"/>
                <w:szCs w:val="20"/>
                <w:lang w:eastAsia="fr-FR"/>
              </w:rPr>
              <w:t xml:space="preserve"> </w:t>
            </w:r>
            <w:r w:rsidRPr="00783C65">
              <w:rPr>
                <w:rFonts w:cs="Arial"/>
                <w:sz w:val="20"/>
                <w:szCs w:val="20"/>
                <w:lang w:eastAsia="fr-FR"/>
              </w:rPr>
              <w:t>; </w:t>
            </w:r>
          </w:p>
          <w:p w14:paraId="59EE080D" w14:textId="77777777" w:rsidR="006B04DC" w:rsidRPr="00783C65" w:rsidRDefault="006B04DC" w:rsidP="00A65A61">
            <w:pPr>
              <w:jc w:val="left"/>
              <w:rPr>
                <w:rFonts w:cs="Arial"/>
                <w:sz w:val="20"/>
                <w:szCs w:val="20"/>
                <w:lang w:eastAsia="fr-FR"/>
              </w:rPr>
            </w:pPr>
            <w:r w:rsidRPr="00783C65">
              <w:rPr>
                <w:rFonts w:cs="Arial"/>
                <w:sz w:val="20"/>
                <w:szCs w:val="20"/>
                <w:lang w:eastAsia="fr-FR"/>
              </w:rPr>
              <w:t>- toutes activités susceptibles de réduire la quantité d’eau potable et sa qualité ; </w:t>
            </w:r>
          </w:p>
          <w:p w14:paraId="1BB7C4E6"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 l’emploi des </w:t>
            </w:r>
            <w:r w:rsidRPr="00783C65">
              <w:rPr>
                <w:rFonts w:cs="Arial"/>
                <w:b/>
                <w:bCs/>
                <w:sz w:val="20"/>
                <w:szCs w:val="20"/>
                <w:lang w:eastAsia="fr-FR"/>
              </w:rPr>
              <w:t xml:space="preserve">produits pour la conservation du bois </w:t>
            </w:r>
            <w:r w:rsidRPr="00783C65">
              <w:rPr>
                <w:rFonts w:cs="Arial"/>
                <w:sz w:val="20"/>
                <w:szCs w:val="20"/>
                <w:lang w:eastAsia="fr-FR"/>
              </w:rPr>
              <w:t>; </w:t>
            </w:r>
          </w:p>
          <w:p w14:paraId="74096DCA" w14:textId="77777777" w:rsidR="006B04DC" w:rsidRPr="00783C65" w:rsidRDefault="006B04DC" w:rsidP="00A65A61">
            <w:pPr>
              <w:jc w:val="left"/>
              <w:rPr>
                <w:rFonts w:cs="Arial"/>
                <w:sz w:val="20"/>
                <w:szCs w:val="20"/>
                <w:lang w:eastAsia="fr-FR"/>
              </w:rPr>
            </w:pPr>
            <w:r w:rsidRPr="00783C65">
              <w:rPr>
                <w:rFonts w:cs="Arial"/>
                <w:sz w:val="20"/>
                <w:szCs w:val="20"/>
                <w:lang w:eastAsia="fr-FR"/>
              </w:rPr>
              <w:t>- l’</w:t>
            </w:r>
            <w:r w:rsidRPr="00783C65">
              <w:rPr>
                <w:rFonts w:cs="Arial"/>
                <w:b/>
                <w:bCs/>
                <w:sz w:val="20"/>
                <w:szCs w:val="20"/>
                <w:lang w:eastAsia="fr-FR"/>
              </w:rPr>
              <w:t xml:space="preserve">entreposage du bois traité </w:t>
            </w:r>
            <w:r w:rsidRPr="00783C65">
              <w:rPr>
                <w:rFonts w:cs="Arial"/>
                <w:sz w:val="20"/>
                <w:szCs w:val="20"/>
                <w:lang w:eastAsia="fr-FR"/>
              </w:rPr>
              <w:t>avec des produits pour la conservation du bois ; </w:t>
            </w:r>
          </w:p>
          <w:p w14:paraId="28C5CE1A"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 les </w:t>
            </w:r>
            <w:r w:rsidRPr="00783C65">
              <w:rPr>
                <w:rFonts w:cs="Arial"/>
                <w:b/>
                <w:bCs/>
                <w:sz w:val="20"/>
                <w:szCs w:val="20"/>
                <w:lang w:eastAsia="fr-FR"/>
              </w:rPr>
              <w:t xml:space="preserve">produits phytosanitaires mobiles et difficilement dégradables </w:t>
            </w:r>
            <w:r w:rsidRPr="00783C65">
              <w:rPr>
                <w:rFonts w:cs="Arial"/>
                <w:sz w:val="20"/>
                <w:szCs w:val="20"/>
                <w:lang w:eastAsia="fr-FR"/>
              </w:rPr>
              <w:t>(voir liste de l’OFAG) ; </w:t>
            </w:r>
          </w:p>
          <w:p w14:paraId="47808EB1" w14:textId="77777777" w:rsidR="006B04DC" w:rsidRPr="00783C65" w:rsidRDefault="006B04DC" w:rsidP="00A65A61">
            <w:pPr>
              <w:jc w:val="left"/>
              <w:rPr>
                <w:rFonts w:cs="Arial"/>
                <w:sz w:val="20"/>
                <w:szCs w:val="20"/>
                <w:lang w:eastAsia="fr-FR"/>
              </w:rPr>
            </w:pPr>
            <w:r w:rsidRPr="00783C65">
              <w:rPr>
                <w:rFonts w:cs="Arial"/>
                <w:sz w:val="20"/>
                <w:szCs w:val="20"/>
                <w:lang w:eastAsia="fr-FR"/>
              </w:rPr>
              <w:t>- et l’épandage d’</w:t>
            </w:r>
            <w:r w:rsidRPr="00783C65">
              <w:rPr>
                <w:rFonts w:cs="Arial"/>
                <w:b/>
                <w:bCs/>
                <w:sz w:val="20"/>
                <w:szCs w:val="20"/>
                <w:lang w:eastAsia="fr-FR"/>
              </w:rPr>
              <w:t xml:space="preserve">engrais de ferme liquides </w:t>
            </w:r>
            <w:r w:rsidRPr="00783C65">
              <w:rPr>
                <w:rFonts w:cs="Arial"/>
                <w:sz w:val="20"/>
                <w:szCs w:val="20"/>
                <w:lang w:eastAsia="fr-FR"/>
              </w:rPr>
              <w:t>(dérogations possibles). </w:t>
            </w:r>
          </w:p>
        </w:tc>
      </w:tr>
    </w:tbl>
    <w:p w14:paraId="1AB485D4" w14:textId="77777777" w:rsidR="006B04DC" w:rsidRPr="00783C65" w:rsidRDefault="006B04DC" w:rsidP="006B04DC">
      <w:pPr>
        <w:rPr>
          <w:rFonts w:cs="Arial"/>
          <w:sz w:val="20"/>
          <w:szCs w:val="20"/>
        </w:rPr>
      </w:pPr>
      <w:bookmarkStart w:id="2" w:name="_GoBack"/>
      <w:bookmarkEnd w:id="2"/>
    </w:p>
    <w:tbl>
      <w:tblPr>
        <w:tblW w:w="0" w:type="auto"/>
        <w:tblInd w:w="450" w:type="dxa"/>
        <w:tblCellMar>
          <w:left w:w="0" w:type="dxa"/>
          <w:right w:w="0" w:type="dxa"/>
        </w:tblCellMar>
        <w:tblLook w:val="04A0" w:firstRow="1" w:lastRow="0" w:firstColumn="1" w:lastColumn="0" w:noHBand="0" w:noVBand="1"/>
      </w:tblPr>
      <w:tblGrid>
        <w:gridCol w:w="8610"/>
      </w:tblGrid>
      <w:tr w:rsidR="006B04DC" w:rsidRPr="00783C65" w14:paraId="0C77DEC9"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A7EC5D3"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Zone S3 (zone de protection éloignée)</w:t>
            </w:r>
          </w:p>
        </w:tc>
      </w:tr>
      <w:tr w:rsidR="006B04DC" w:rsidRPr="00783C65" w14:paraId="25E7A6D0"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6DAA8229"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interdits : </w:t>
            </w:r>
          </w:p>
          <w:p w14:paraId="41504120" w14:textId="77777777" w:rsidR="006B04DC" w:rsidRPr="00783C65" w:rsidRDefault="006B04DC" w:rsidP="00A65A61">
            <w:pPr>
              <w:jc w:val="left"/>
              <w:rPr>
                <w:rFonts w:cs="Arial"/>
                <w:sz w:val="20"/>
                <w:szCs w:val="20"/>
                <w:lang w:eastAsia="fr-FR"/>
              </w:rPr>
            </w:pPr>
            <w:r w:rsidRPr="00783C65">
              <w:rPr>
                <w:rFonts w:cs="Arial"/>
                <w:sz w:val="20"/>
                <w:szCs w:val="20"/>
                <w:lang w:eastAsia="fr-FR"/>
              </w:rPr>
              <w:t>- l’extraction de matériaux (graviers, sable ou autres matériaux) ; </w:t>
            </w:r>
          </w:p>
          <w:p w14:paraId="3EDF478F"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décharges ; </w:t>
            </w:r>
          </w:p>
          <w:p w14:paraId="16C9181C"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constructions au-dessous du niveau piézométrique maximum des nappes d’eaux souterraines ; </w:t>
            </w:r>
          </w:p>
          <w:p w14:paraId="3BAEB7E0"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exploitations industrielles et artisanales impliquant un risque pour les eaux du sous-sol ; </w:t>
            </w:r>
          </w:p>
          <w:p w14:paraId="38D0CDB7" w14:textId="77777777" w:rsidR="006B04DC" w:rsidRPr="00783C65" w:rsidRDefault="006B04DC" w:rsidP="00A65A61">
            <w:pPr>
              <w:spacing w:after="120"/>
              <w:jc w:val="left"/>
              <w:rPr>
                <w:rFonts w:cs="Arial"/>
                <w:sz w:val="20"/>
                <w:szCs w:val="20"/>
                <w:lang w:eastAsia="fr-FR"/>
              </w:rPr>
            </w:pPr>
            <w:r w:rsidRPr="00783C65">
              <w:rPr>
                <w:rFonts w:cs="Arial"/>
                <w:sz w:val="20"/>
                <w:szCs w:val="20"/>
                <w:lang w:eastAsia="fr-FR"/>
              </w:rPr>
              <w:t xml:space="preserve">- et l’utilisation de </w:t>
            </w:r>
            <w:r w:rsidRPr="00783C65">
              <w:rPr>
                <w:rFonts w:cs="Arial"/>
                <w:b/>
                <w:bCs/>
                <w:sz w:val="20"/>
                <w:szCs w:val="20"/>
                <w:lang w:eastAsia="fr-FR"/>
              </w:rPr>
              <w:t>produits pour la conservation du bois</w:t>
            </w:r>
            <w:r w:rsidRPr="00783C65">
              <w:rPr>
                <w:rFonts w:cs="Arial"/>
                <w:sz w:val="20"/>
                <w:szCs w:val="20"/>
                <w:lang w:eastAsia="fr-FR"/>
              </w:rPr>
              <w:t xml:space="preserve">, de </w:t>
            </w:r>
            <w:r w:rsidRPr="00783C65">
              <w:rPr>
                <w:rFonts w:cs="Arial"/>
                <w:b/>
                <w:bCs/>
                <w:sz w:val="20"/>
                <w:szCs w:val="20"/>
                <w:lang w:eastAsia="fr-FR"/>
              </w:rPr>
              <w:t xml:space="preserve">produits phytosanitaires </w:t>
            </w:r>
            <w:r w:rsidRPr="00783C65">
              <w:rPr>
                <w:rFonts w:cs="Arial"/>
                <w:sz w:val="20"/>
                <w:szCs w:val="20"/>
                <w:lang w:eastAsia="fr-FR"/>
              </w:rPr>
              <w:t>(en forêt uniquement, ORRChim) et d’</w:t>
            </w:r>
            <w:r w:rsidRPr="00783C65">
              <w:rPr>
                <w:rFonts w:cs="Arial"/>
                <w:b/>
                <w:bCs/>
                <w:sz w:val="20"/>
                <w:szCs w:val="20"/>
                <w:lang w:eastAsia="fr-FR"/>
              </w:rPr>
              <w:t xml:space="preserve">engrais </w:t>
            </w:r>
            <w:r w:rsidRPr="00783C65">
              <w:rPr>
                <w:rFonts w:cs="Arial"/>
                <w:sz w:val="20"/>
                <w:szCs w:val="20"/>
                <w:lang w:eastAsia="fr-FR"/>
              </w:rPr>
              <w:t>(uniquement en forêt, ORRChim). </w:t>
            </w:r>
          </w:p>
          <w:p w14:paraId="3D70A7F1"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N.B. Lors de l’emploi de </w:t>
            </w:r>
            <w:r w:rsidRPr="00783C65">
              <w:rPr>
                <w:rFonts w:cs="Arial"/>
                <w:b/>
                <w:bCs/>
                <w:sz w:val="20"/>
                <w:szCs w:val="20"/>
                <w:lang w:eastAsia="fr-FR"/>
              </w:rPr>
              <w:t xml:space="preserve">produits pour la conservation du bois </w:t>
            </w:r>
            <w:r w:rsidRPr="00783C65">
              <w:rPr>
                <w:rFonts w:cs="Arial"/>
                <w:sz w:val="20"/>
                <w:szCs w:val="20"/>
                <w:lang w:eastAsia="fr-FR"/>
              </w:rPr>
              <w:t xml:space="preserve">ou l’entreposage de </w:t>
            </w:r>
            <w:r w:rsidRPr="00783C65">
              <w:rPr>
                <w:rFonts w:cs="Arial"/>
                <w:b/>
                <w:bCs/>
                <w:sz w:val="20"/>
                <w:szCs w:val="20"/>
                <w:lang w:eastAsia="fr-FR"/>
              </w:rPr>
              <w:t>bois traité</w:t>
            </w:r>
            <w:r w:rsidRPr="00783C65">
              <w:rPr>
                <w:rFonts w:cs="Arial"/>
                <w:sz w:val="20"/>
                <w:szCs w:val="20"/>
                <w:lang w:eastAsia="fr-FR"/>
              </w:rPr>
              <w:t>, des mesures de construction doivent être prises pour éviter l’infiltration et l’entraînement par ruissellement de ces produits (ORRChim). </w:t>
            </w:r>
          </w:p>
        </w:tc>
      </w:tr>
    </w:tbl>
    <w:p w14:paraId="42F7405F" w14:textId="77777777" w:rsidR="006B04DC" w:rsidRPr="00783C65" w:rsidRDefault="006B04DC" w:rsidP="006B04DC">
      <w:pPr>
        <w:rPr>
          <w:rFonts w:cs="Arial"/>
          <w:sz w:val="20"/>
          <w:szCs w:val="20"/>
        </w:rPr>
      </w:pPr>
    </w:p>
    <w:tbl>
      <w:tblPr>
        <w:tblW w:w="0" w:type="auto"/>
        <w:tblInd w:w="450" w:type="dxa"/>
        <w:tblCellMar>
          <w:left w:w="0" w:type="dxa"/>
          <w:right w:w="0" w:type="dxa"/>
        </w:tblCellMar>
        <w:tblLook w:val="04A0" w:firstRow="1" w:lastRow="0" w:firstColumn="1" w:lastColumn="0" w:noHBand="0" w:noVBand="1"/>
      </w:tblPr>
      <w:tblGrid>
        <w:gridCol w:w="8610"/>
      </w:tblGrid>
      <w:tr w:rsidR="006B04DC" w:rsidRPr="00783C65" w14:paraId="55940384"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26D48F1"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Périmètre de protection </w:t>
            </w:r>
          </w:p>
        </w:tc>
      </w:tr>
      <w:tr w:rsidR="006B04DC" w:rsidRPr="00783C65" w14:paraId="4B07AF9E"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A57C11C"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interdits, en plus des restrictions de la zone S2 : </w:t>
            </w:r>
          </w:p>
          <w:p w14:paraId="03982711" w14:textId="77777777" w:rsidR="006B04DC" w:rsidRPr="00783C65" w:rsidRDefault="006B04DC" w:rsidP="00A65A61">
            <w:pPr>
              <w:jc w:val="left"/>
              <w:rPr>
                <w:rFonts w:cs="Arial"/>
                <w:sz w:val="20"/>
                <w:szCs w:val="20"/>
                <w:lang w:eastAsia="fr-FR"/>
              </w:rPr>
            </w:pPr>
            <w:r w:rsidRPr="00783C65">
              <w:rPr>
                <w:rFonts w:cs="Arial"/>
                <w:sz w:val="20"/>
                <w:szCs w:val="20"/>
                <w:lang w:eastAsia="fr-FR"/>
              </w:rPr>
              <w:t>- la construction d’ouvrages et d’installations (dérogations si toute menace pour l’utilisation de l’eau potable peut être exclue) ; </w:t>
            </w:r>
          </w:p>
          <w:p w14:paraId="7F1F6D1F"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travaux d’excavation altérant les couches de couverture protectrices ; </w:t>
            </w:r>
          </w:p>
          <w:p w14:paraId="73AA3612" w14:textId="77777777" w:rsidR="006B04DC" w:rsidRPr="00783C65" w:rsidRDefault="006B04DC" w:rsidP="00A65A61">
            <w:pPr>
              <w:jc w:val="left"/>
              <w:rPr>
                <w:rFonts w:cs="Arial"/>
                <w:sz w:val="20"/>
                <w:szCs w:val="20"/>
                <w:lang w:eastAsia="fr-FR"/>
              </w:rPr>
            </w:pPr>
            <w:r w:rsidRPr="00783C65">
              <w:rPr>
                <w:rFonts w:cs="Arial"/>
                <w:sz w:val="20"/>
                <w:szCs w:val="20"/>
                <w:lang w:eastAsia="fr-FR"/>
              </w:rPr>
              <w:t>- l’extraction de matériaux (graviers, sable et autres matériaux) ; </w:t>
            </w:r>
          </w:p>
          <w:p w14:paraId="63E93B76" w14:textId="77777777" w:rsidR="006B04DC" w:rsidRPr="00783C65" w:rsidRDefault="006B04DC" w:rsidP="00A65A61">
            <w:pPr>
              <w:jc w:val="left"/>
              <w:rPr>
                <w:rFonts w:cs="Arial"/>
                <w:sz w:val="20"/>
                <w:szCs w:val="20"/>
                <w:lang w:eastAsia="fr-FR"/>
              </w:rPr>
            </w:pPr>
            <w:r w:rsidRPr="00783C65">
              <w:rPr>
                <w:rFonts w:cs="Arial"/>
                <w:sz w:val="20"/>
                <w:szCs w:val="20"/>
                <w:lang w:eastAsia="fr-FR"/>
              </w:rPr>
              <w:t>- l’infiltration d’eaux à évacuer ; </w:t>
            </w:r>
          </w:p>
          <w:p w14:paraId="059AFF81"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activités susceptibles de réduire la quantité d’eau potable et d’altérer sa qualité. </w:t>
            </w:r>
          </w:p>
          <w:p w14:paraId="26489EFA" w14:textId="77777777" w:rsidR="006B04DC" w:rsidRPr="00783C65" w:rsidRDefault="006B04DC" w:rsidP="00A65A61">
            <w:pPr>
              <w:jc w:val="left"/>
              <w:rPr>
                <w:rFonts w:cs="Arial"/>
                <w:sz w:val="20"/>
                <w:szCs w:val="20"/>
                <w:lang w:eastAsia="fr-FR"/>
              </w:rPr>
            </w:pPr>
            <w:r w:rsidRPr="00783C65">
              <w:rPr>
                <w:rFonts w:cs="Arial"/>
                <w:sz w:val="20"/>
                <w:szCs w:val="20"/>
                <w:lang w:eastAsia="fr-FR"/>
              </w:rPr>
              <w:t>Les installations utilisant des liquides pouvant polluer les eaux sont soumis à l’article 9 de l’OPEL. </w:t>
            </w:r>
          </w:p>
        </w:tc>
      </w:tr>
    </w:tbl>
    <w:p w14:paraId="00E90F3A" w14:textId="77777777" w:rsidR="006B04DC" w:rsidRPr="00783C65" w:rsidRDefault="006B04DC" w:rsidP="006B04DC">
      <w:pPr>
        <w:rPr>
          <w:rFonts w:cs="Arial"/>
          <w:sz w:val="20"/>
          <w:szCs w:val="20"/>
        </w:rPr>
      </w:pPr>
    </w:p>
    <w:tbl>
      <w:tblPr>
        <w:tblW w:w="0" w:type="auto"/>
        <w:tblInd w:w="450" w:type="dxa"/>
        <w:tblCellMar>
          <w:left w:w="0" w:type="dxa"/>
          <w:right w:w="0" w:type="dxa"/>
        </w:tblCellMar>
        <w:tblLook w:val="04A0" w:firstRow="1" w:lastRow="0" w:firstColumn="1" w:lastColumn="0" w:noHBand="0" w:noVBand="1"/>
      </w:tblPr>
      <w:tblGrid>
        <w:gridCol w:w="8610"/>
      </w:tblGrid>
      <w:tr w:rsidR="006B04DC" w:rsidRPr="00783C65" w14:paraId="174D61D8"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7F9DAD9"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Aire d’alimentation Zu &amp; Aire d’alimentation Zo </w:t>
            </w:r>
          </w:p>
        </w:tc>
      </w:tr>
      <w:tr w:rsidR="006B04DC" w:rsidRPr="00783C65" w14:paraId="425F85A2" w14:textId="77777777" w:rsidTr="00A65A61">
        <w:tc>
          <w:tcPr>
            <w:tcW w:w="877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EAF647D" w14:textId="77777777" w:rsidR="006B04DC" w:rsidRPr="00783C65" w:rsidRDefault="006B04DC" w:rsidP="00A65A61">
            <w:pPr>
              <w:jc w:val="left"/>
              <w:rPr>
                <w:rFonts w:cs="Arial"/>
                <w:sz w:val="20"/>
                <w:szCs w:val="20"/>
                <w:lang w:eastAsia="fr-FR"/>
              </w:rPr>
            </w:pPr>
            <w:r w:rsidRPr="00783C65">
              <w:rPr>
                <w:rFonts w:cs="Arial"/>
                <w:sz w:val="20"/>
                <w:szCs w:val="20"/>
                <w:lang w:eastAsia="fr-FR"/>
              </w:rPr>
              <w:t>Lors d’une pollution des eaux liées à l’exploitation des sols dans ces aires d’alimentation (produits phytosanitaires et engrais entraînés par ruissellement ou lessivage), les cantons prennent les mesures nécessaires, notamment : </w:t>
            </w:r>
          </w:p>
          <w:p w14:paraId="79AED667" w14:textId="77777777" w:rsidR="006B04DC" w:rsidRPr="00783C65" w:rsidRDefault="006B04DC" w:rsidP="00A65A61">
            <w:pPr>
              <w:jc w:val="left"/>
              <w:rPr>
                <w:rFonts w:cs="Arial"/>
                <w:sz w:val="20"/>
                <w:szCs w:val="20"/>
                <w:lang w:eastAsia="fr-FR"/>
              </w:rPr>
            </w:pPr>
            <w:r w:rsidRPr="00783C65">
              <w:rPr>
                <w:rFonts w:cs="Arial"/>
                <w:sz w:val="20"/>
                <w:szCs w:val="20"/>
                <w:lang w:eastAsia="fr-FR"/>
              </w:rPr>
              <w:t>- restriction de l’utilisation de produits phytosanitaires et d’engrais ; </w:t>
            </w:r>
          </w:p>
          <w:p w14:paraId="43641E73" w14:textId="77777777" w:rsidR="006B04DC" w:rsidRPr="00783C65" w:rsidRDefault="006B04DC" w:rsidP="00A65A61">
            <w:pPr>
              <w:jc w:val="left"/>
              <w:rPr>
                <w:rFonts w:cs="Arial"/>
                <w:sz w:val="20"/>
                <w:szCs w:val="20"/>
                <w:lang w:eastAsia="fr-FR"/>
              </w:rPr>
            </w:pPr>
            <w:r w:rsidRPr="00783C65">
              <w:rPr>
                <w:rFonts w:cs="Arial"/>
                <w:sz w:val="20"/>
                <w:szCs w:val="20"/>
                <w:lang w:eastAsia="fr-FR"/>
              </w:rPr>
              <w:t>- utilisation exclusive de moyens auxiliaires techniques, procédés, équipements et méthodes d’exploitation particulièrement adaptés. </w:t>
            </w:r>
          </w:p>
          <w:p w14:paraId="72F0E8BB" w14:textId="77777777" w:rsidR="006B04DC" w:rsidRPr="00783C65" w:rsidRDefault="006B04DC" w:rsidP="00A65A61">
            <w:pPr>
              <w:jc w:val="left"/>
              <w:rPr>
                <w:rFonts w:cs="Arial"/>
                <w:sz w:val="20"/>
                <w:szCs w:val="20"/>
                <w:lang w:eastAsia="fr-FR"/>
              </w:rPr>
            </w:pPr>
            <w:r w:rsidRPr="00783C65">
              <w:rPr>
                <w:rFonts w:cs="Arial"/>
                <w:sz w:val="20"/>
                <w:szCs w:val="20"/>
                <w:lang w:eastAsia="fr-FR"/>
              </w:rPr>
              <w:t xml:space="preserve">Emploi restreint de produit phytosanitaire dans </w:t>
            </w:r>
            <w:r w:rsidRPr="00783C65">
              <w:rPr>
                <w:rFonts w:cs="Arial"/>
                <w:b/>
                <w:bCs/>
                <w:sz w:val="20"/>
                <w:szCs w:val="20"/>
                <w:lang w:eastAsia="fr-FR"/>
              </w:rPr>
              <w:t xml:space="preserve">l’aire d’alimentation Zu </w:t>
            </w:r>
            <w:r w:rsidRPr="00783C65">
              <w:rPr>
                <w:rFonts w:cs="Arial"/>
                <w:sz w:val="20"/>
                <w:szCs w:val="20"/>
                <w:lang w:eastAsia="fr-FR"/>
              </w:rPr>
              <w:t xml:space="preserve">si « </w:t>
            </w:r>
            <w:r w:rsidRPr="00783C65">
              <w:rPr>
                <w:rFonts w:cs="Arial"/>
                <w:i/>
                <w:iCs/>
                <w:sz w:val="20"/>
                <w:szCs w:val="20"/>
                <w:lang w:eastAsia="fr-FR"/>
              </w:rPr>
              <w:t xml:space="preserve">la présence de ce produit est constatée dans un captage d’eau potable et que la qualité des eaux souterraines en exploitation ou dont l’exploitation est prévue s’avère à plusieurs reprises ne pas satisfaire aux exigences </w:t>
            </w:r>
            <w:r w:rsidRPr="00783C65">
              <w:rPr>
                <w:rFonts w:cs="Arial"/>
                <w:sz w:val="20"/>
                <w:szCs w:val="20"/>
                <w:lang w:eastAsia="fr-FR"/>
              </w:rPr>
              <w:t>». </w:t>
            </w:r>
          </w:p>
          <w:p w14:paraId="1F1D4EAA" w14:textId="77777777" w:rsidR="006B04DC" w:rsidRPr="00783C65" w:rsidRDefault="006B04DC" w:rsidP="00A65A61">
            <w:pPr>
              <w:jc w:val="left"/>
              <w:rPr>
                <w:rFonts w:cs="Arial"/>
                <w:sz w:val="20"/>
                <w:szCs w:val="20"/>
                <w:lang w:eastAsia="fr-FR"/>
              </w:rPr>
            </w:pPr>
            <w:r w:rsidRPr="00783C65">
              <w:rPr>
                <w:rFonts w:cs="Arial"/>
                <w:sz w:val="20"/>
                <w:szCs w:val="20"/>
                <w:lang w:eastAsia="fr-FR"/>
              </w:rPr>
              <w:t>N.B. Si les aires d’alimentation sont définies en lieu et place de la zone S3, les restrictions d’utilisation de cette dernière s’appliquent, excepté pour l’extraction de matériaux. </w:t>
            </w:r>
          </w:p>
        </w:tc>
      </w:tr>
    </w:tbl>
    <w:p w14:paraId="65966254" w14:textId="77777777" w:rsidR="006B04DC" w:rsidRPr="00783C65" w:rsidRDefault="006B04DC" w:rsidP="006B04DC">
      <w:pPr>
        <w:rPr>
          <w:rFonts w:cs="Arial"/>
          <w:sz w:val="20"/>
          <w:szCs w:val="20"/>
        </w:rPr>
      </w:pPr>
    </w:p>
    <w:tbl>
      <w:tblPr>
        <w:tblW w:w="8843" w:type="dxa"/>
        <w:tblInd w:w="451" w:type="dxa"/>
        <w:tblCellMar>
          <w:left w:w="0" w:type="dxa"/>
          <w:right w:w="0" w:type="dxa"/>
        </w:tblCellMar>
        <w:tblLook w:val="04A0" w:firstRow="1" w:lastRow="0" w:firstColumn="1" w:lastColumn="0" w:noHBand="0" w:noVBand="1"/>
      </w:tblPr>
      <w:tblGrid>
        <w:gridCol w:w="8843"/>
      </w:tblGrid>
      <w:tr w:rsidR="006B04DC" w:rsidRPr="00783C65" w14:paraId="248FB243" w14:textId="77777777" w:rsidTr="00A65A61">
        <w:tc>
          <w:tcPr>
            <w:tcW w:w="8843"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5471F7C"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Secteur Ao (eaux superficielles et leur zone littorale)</w:t>
            </w:r>
          </w:p>
        </w:tc>
      </w:tr>
      <w:tr w:rsidR="006B04DC" w:rsidRPr="00783C65" w14:paraId="228B9E0D" w14:textId="77777777" w:rsidTr="00A65A61">
        <w:tc>
          <w:tcPr>
            <w:tcW w:w="8843"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7B6827E"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interdites : </w:t>
            </w:r>
          </w:p>
          <w:p w14:paraId="6FB8E08E"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installations qui présentent un danger particulier pour les eaux. </w:t>
            </w:r>
          </w:p>
        </w:tc>
      </w:tr>
    </w:tbl>
    <w:p w14:paraId="613B12F1" w14:textId="77777777" w:rsidR="006B04DC" w:rsidRPr="00783C65" w:rsidRDefault="006B04DC" w:rsidP="006B04DC">
      <w:pPr>
        <w:rPr>
          <w:rFonts w:cs="Arial"/>
          <w:sz w:val="20"/>
          <w:szCs w:val="20"/>
        </w:rPr>
      </w:pPr>
    </w:p>
    <w:tbl>
      <w:tblPr>
        <w:tblW w:w="8844" w:type="dxa"/>
        <w:tblInd w:w="450" w:type="dxa"/>
        <w:tblCellMar>
          <w:left w:w="0" w:type="dxa"/>
          <w:right w:w="0" w:type="dxa"/>
        </w:tblCellMar>
        <w:tblLook w:val="04A0" w:firstRow="1" w:lastRow="0" w:firstColumn="1" w:lastColumn="0" w:noHBand="0" w:noVBand="1"/>
      </w:tblPr>
      <w:tblGrid>
        <w:gridCol w:w="8844"/>
      </w:tblGrid>
      <w:tr w:rsidR="006B04DC" w:rsidRPr="00783C65" w14:paraId="23010214" w14:textId="77777777" w:rsidTr="00A65A61">
        <w:tc>
          <w:tcPr>
            <w:tcW w:w="8844"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2528690"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Secteur Au (eaux souterraines exploitables)</w:t>
            </w:r>
          </w:p>
        </w:tc>
      </w:tr>
      <w:tr w:rsidR="006B04DC" w:rsidRPr="00783C65" w14:paraId="521C05D4" w14:textId="77777777" w:rsidTr="00A65A61">
        <w:tc>
          <w:tcPr>
            <w:tcW w:w="8844"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8B982D8"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interdites : </w:t>
            </w:r>
          </w:p>
          <w:p w14:paraId="7FDD808A"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installations présentant un danger particulier pour les eaux ; </w:t>
            </w:r>
          </w:p>
          <w:p w14:paraId="6F9939DF"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installations situées au-dessous du niveau moyen de la nappe souterraine. </w:t>
            </w:r>
          </w:p>
          <w:p w14:paraId="644E1712"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soumises à condition : </w:t>
            </w:r>
          </w:p>
          <w:p w14:paraId="22D7FF82"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constructions et installations, soumise à une autorisation cantonale ; </w:t>
            </w:r>
          </w:p>
          <w:p w14:paraId="5371DC44" w14:textId="77777777" w:rsidR="006B04DC" w:rsidRPr="00783C65" w:rsidRDefault="006B04DC" w:rsidP="00A65A61">
            <w:pPr>
              <w:jc w:val="left"/>
              <w:rPr>
                <w:rFonts w:cs="Arial"/>
                <w:sz w:val="20"/>
                <w:szCs w:val="20"/>
                <w:lang w:eastAsia="fr-FR"/>
              </w:rPr>
            </w:pPr>
            <w:r w:rsidRPr="00783C65">
              <w:rPr>
                <w:rFonts w:cs="Arial"/>
                <w:sz w:val="20"/>
                <w:szCs w:val="20"/>
                <w:lang w:eastAsia="fr-FR"/>
              </w:rPr>
              <w:t>- l’exploitation de matériaux (graviers, sable ou autres matériaux), soumises à des prescriptions particulières. </w:t>
            </w:r>
          </w:p>
        </w:tc>
      </w:tr>
    </w:tbl>
    <w:p w14:paraId="181869CA" w14:textId="77777777" w:rsidR="006B04DC" w:rsidRPr="00783C65" w:rsidRDefault="006B04DC" w:rsidP="006B04DC">
      <w:pPr>
        <w:rPr>
          <w:rFonts w:cs="Arial"/>
          <w:sz w:val="20"/>
          <w:szCs w:val="20"/>
        </w:rPr>
      </w:pPr>
    </w:p>
    <w:tbl>
      <w:tblPr>
        <w:tblW w:w="8844" w:type="dxa"/>
        <w:tblInd w:w="450" w:type="dxa"/>
        <w:tblCellMar>
          <w:left w:w="0" w:type="dxa"/>
          <w:right w:w="0" w:type="dxa"/>
        </w:tblCellMar>
        <w:tblLook w:val="04A0" w:firstRow="1" w:lastRow="0" w:firstColumn="1" w:lastColumn="0" w:noHBand="0" w:noVBand="1"/>
      </w:tblPr>
      <w:tblGrid>
        <w:gridCol w:w="8844"/>
      </w:tblGrid>
      <w:tr w:rsidR="006B04DC" w:rsidRPr="00783C65" w14:paraId="22B68DAE" w14:textId="77777777" w:rsidTr="00A65A61">
        <w:tc>
          <w:tcPr>
            <w:tcW w:w="8844"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7B9F20B4" w14:textId="77777777" w:rsidR="006B04DC" w:rsidRPr="00783C65" w:rsidRDefault="006B04DC" w:rsidP="00A65A61">
            <w:pPr>
              <w:jc w:val="left"/>
              <w:rPr>
                <w:rFonts w:cs="Arial"/>
                <w:sz w:val="20"/>
                <w:szCs w:val="20"/>
                <w:lang w:eastAsia="fr-FR"/>
              </w:rPr>
            </w:pPr>
            <w:r w:rsidRPr="00783C65">
              <w:rPr>
                <w:rFonts w:cs="Arial"/>
                <w:b/>
                <w:bCs/>
                <w:sz w:val="20"/>
                <w:szCs w:val="20"/>
                <w:lang w:eastAsia="fr-FR"/>
              </w:rPr>
              <w:t>Autres secteurs (reste du territoire</w:t>
            </w:r>
            <w:r w:rsidR="00104C14">
              <w:rPr>
                <w:rFonts w:cs="Arial"/>
                <w:b/>
                <w:bCs/>
                <w:sz w:val="20"/>
                <w:szCs w:val="20"/>
                <w:lang w:eastAsia="fr-FR"/>
              </w:rPr>
              <w:t>)</w:t>
            </w:r>
          </w:p>
        </w:tc>
      </w:tr>
      <w:tr w:rsidR="006B04DC" w:rsidRPr="00783C65" w14:paraId="1F031879" w14:textId="77777777" w:rsidTr="00A65A61">
        <w:tc>
          <w:tcPr>
            <w:tcW w:w="8844"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0662274" w14:textId="77777777" w:rsidR="006B04DC" w:rsidRPr="00783C65" w:rsidRDefault="006B04DC" w:rsidP="00A65A61">
            <w:pPr>
              <w:jc w:val="left"/>
              <w:rPr>
                <w:rFonts w:cs="Arial"/>
                <w:sz w:val="20"/>
                <w:szCs w:val="20"/>
                <w:lang w:eastAsia="fr-FR"/>
              </w:rPr>
            </w:pPr>
            <w:r w:rsidRPr="00783C65">
              <w:rPr>
                <w:rFonts w:cs="Arial"/>
                <w:sz w:val="20"/>
                <w:szCs w:val="20"/>
                <w:lang w:eastAsia="fr-FR"/>
              </w:rPr>
              <w:t>Sont interdits : </w:t>
            </w:r>
          </w:p>
          <w:p w14:paraId="79449899" w14:textId="77777777" w:rsidR="006B04DC" w:rsidRPr="00783C65" w:rsidRDefault="006B04DC" w:rsidP="00A65A61">
            <w:pPr>
              <w:jc w:val="left"/>
              <w:rPr>
                <w:rFonts w:cs="Arial"/>
                <w:sz w:val="20"/>
                <w:szCs w:val="20"/>
                <w:lang w:eastAsia="fr-FR"/>
              </w:rPr>
            </w:pPr>
            <w:r w:rsidRPr="00783C65">
              <w:rPr>
                <w:rFonts w:cs="Arial"/>
                <w:sz w:val="20"/>
                <w:szCs w:val="20"/>
                <w:lang w:eastAsia="fr-FR"/>
              </w:rPr>
              <w:t>- les dépôts de déchets combustibles. </w:t>
            </w:r>
          </w:p>
          <w:p w14:paraId="579F2B54" w14:textId="77777777" w:rsidR="006B04DC" w:rsidRPr="00783C65" w:rsidRDefault="006B04DC" w:rsidP="00A65A61">
            <w:pPr>
              <w:jc w:val="left"/>
              <w:rPr>
                <w:rFonts w:cs="Arial"/>
                <w:sz w:val="20"/>
                <w:szCs w:val="20"/>
                <w:lang w:eastAsia="fr-FR"/>
              </w:rPr>
            </w:pPr>
            <w:r w:rsidRPr="00783C65">
              <w:rPr>
                <w:rFonts w:cs="Arial"/>
                <w:sz w:val="20"/>
                <w:szCs w:val="20"/>
                <w:lang w:eastAsia="fr-FR"/>
              </w:rPr>
              <w:t>Est soumise à autorisation : </w:t>
            </w:r>
          </w:p>
          <w:p w14:paraId="104E1833" w14:textId="77777777" w:rsidR="006B04DC" w:rsidRPr="00783C65" w:rsidRDefault="006B04DC" w:rsidP="00A65A61">
            <w:pPr>
              <w:jc w:val="left"/>
              <w:rPr>
                <w:rFonts w:cs="Arial"/>
                <w:sz w:val="20"/>
                <w:szCs w:val="20"/>
                <w:lang w:eastAsia="fr-FR"/>
              </w:rPr>
            </w:pPr>
            <w:r w:rsidRPr="00783C65">
              <w:rPr>
                <w:rFonts w:cs="Arial"/>
                <w:sz w:val="20"/>
                <w:szCs w:val="20"/>
                <w:lang w:eastAsia="fr-FR"/>
              </w:rPr>
              <w:t>- l’extraction de matériaux (gravier, sable et autres matériaux). </w:t>
            </w:r>
          </w:p>
        </w:tc>
      </w:tr>
    </w:tbl>
    <w:p w14:paraId="14E0984F" w14:textId="13C7BE78" w:rsidR="006B04DC" w:rsidRDefault="006B04DC" w:rsidP="006B04DC">
      <w:pPr>
        <w:spacing w:after="200"/>
        <w:jc w:val="left"/>
        <w:rPr>
          <w:i/>
          <w:color w:val="000000" w:themeColor="text1"/>
          <w:sz w:val="22"/>
          <w:szCs w:val="22"/>
        </w:rPr>
      </w:pPr>
    </w:p>
    <w:p w14:paraId="20CE39CD" w14:textId="77777777" w:rsidR="006B04DC" w:rsidRPr="00013D2F" w:rsidRDefault="006B04DC" w:rsidP="006B04DC">
      <w:pPr>
        <w:jc w:val="center"/>
        <w:rPr>
          <w:color w:val="000000" w:themeColor="text1"/>
        </w:rPr>
      </w:pPr>
    </w:p>
    <w:p w14:paraId="228C20CD" w14:textId="77777777" w:rsidR="006B04DC" w:rsidRPr="000E2780" w:rsidRDefault="006B04DC" w:rsidP="006B04DC">
      <w:pPr>
        <w:pStyle w:val="Titre3"/>
      </w:pPr>
      <w:bookmarkStart w:id="3" w:name="_Toc483468234"/>
      <w:r>
        <w:t>Principes de gestion en faveur de la protection des eaux souterraines</w:t>
      </w:r>
      <w:bookmarkEnd w:id="3"/>
    </w:p>
    <w:p w14:paraId="74D31C34" w14:textId="20C92EFB" w:rsidR="006B04DC" w:rsidRPr="00B87A0B" w:rsidRDefault="006B04DC" w:rsidP="006B04DC">
      <w:pPr>
        <w:ind w:left="426"/>
        <w:rPr>
          <w:sz w:val="22"/>
          <w:szCs w:val="22"/>
        </w:rPr>
      </w:pPr>
      <w:r w:rsidRPr="00B87A0B">
        <w:rPr>
          <w:sz w:val="22"/>
          <w:szCs w:val="22"/>
        </w:rPr>
        <w:t>Dans les zones de protection des eaux souterraines situées en forêt, les principes de gestion forestière ci-</w:t>
      </w:r>
      <w:r w:rsidR="00B87A0B">
        <w:rPr>
          <w:sz w:val="22"/>
          <w:szCs w:val="22"/>
        </w:rPr>
        <w:t>après seront appliqués (figure 1</w:t>
      </w:r>
      <w:r w:rsidRPr="00B87A0B">
        <w:rPr>
          <w:sz w:val="22"/>
          <w:szCs w:val="22"/>
        </w:rPr>
        <w:t>). On veillera à instruire toutes les personnes et entreprises qui effectuent des travaux dans ces zones.</w:t>
      </w:r>
    </w:p>
    <w:p w14:paraId="61EDFEE2" w14:textId="77777777" w:rsidR="006B04DC" w:rsidRDefault="006B04DC" w:rsidP="006B04DC">
      <w:pPr>
        <w:spacing w:after="200"/>
        <w:jc w:val="left"/>
      </w:pPr>
    </w:p>
    <w:p w14:paraId="02581805" w14:textId="77777777" w:rsidR="006B04DC" w:rsidRDefault="006B04DC" w:rsidP="006B04DC">
      <w:pPr>
        <w:ind w:left="426"/>
      </w:pPr>
    </w:p>
    <w:p w14:paraId="089E2B39" w14:textId="77777777" w:rsidR="006B04DC" w:rsidRDefault="006B04DC" w:rsidP="006B04DC">
      <w:pPr>
        <w:jc w:val="center"/>
      </w:pPr>
      <w:r>
        <w:t xml:space="preserve"> </w:t>
      </w:r>
    </w:p>
    <w:p w14:paraId="36ECCE0D" w14:textId="0F8261AB" w:rsidR="006B04DC" w:rsidRDefault="00B87A0B" w:rsidP="006B04DC">
      <w:pPr>
        <w:jc w:val="center"/>
        <w:rPr>
          <w:rFonts w:cs="Arial"/>
          <w:bCs/>
        </w:rPr>
      </w:pPr>
      <w:r>
        <w:rPr>
          <w:rFonts w:cs="Arial"/>
          <w:i/>
          <w:sz w:val="20"/>
        </w:rPr>
        <w:t>Figure 1</w:t>
      </w:r>
      <w:r w:rsidR="006B04DC" w:rsidRPr="003900AA">
        <w:rPr>
          <w:rFonts w:cs="Arial"/>
          <w:i/>
          <w:sz w:val="20"/>
        </w:rPr>
        <w:t xml:space="preserve"> : </w:t>
      </w:r>
      <w:r w:rsidR="006B04DC">
        <w:rPr>
          <w:rFonts w:cs="Arial"/>
          <w:i/>
          <w:sz w:val="20"/>
        </w:rPr>
        <w:t>Principes de gestion forestière pour l’eau (ALPEAU, 2012).</w:t>
      </w:r>
    </w:p>
    <w:p w14:paraId="35A996DD" w14:textId="77777777" w:rsidR="006B04DC" w:rsidRDefault="006B04DC" w:rsidP="006B04DC">
      <w:pPr>
        <w:rPr>
          <w:rFonts w:cs="Arial"/>
        </w:rPr>
      </w:pPr>
      <w:r>
        <w:rPr>
          <w:noProof/>
          <w:lang w:eastAsia="fr-FR"/>
        </w:rPr>
        <w:drawing>
          <wp:anchor distT="0" distB="0" distL="114300" distR="114300" simplePos="0" relativeHeight="251659264" behindDoc="0" locked="0" layoutInCell="1" allowOverlap="1" wp14:anchorId="62DAAB79" wp14:editId="79F122BC">
            <wp:simplePos x="0" y="0"/>
            <wp:positionH relativeFrom="column">
              <wp:posOffset>581025</wp:posOffset>
            </wp:positionH>
            <wp:positionV relativeFrom="paragraph">
              <wp:posOffset>86995</wp:posOffset>
            </wp:positionV>
            <wp:extent cx="4495800" cy="5630545"/>
            <wp:effectExtent l="0" t="0" r="0" b="8255"/>
            <wp:wrapSquare wrapText="bothSides"/>
            <wp:docPr id="2" name="Image 2" descr="directives Al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ives Alpe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563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D7826" w14:textId="77777777" w:rsidR="006B04DC" w:rsidRDefault="006B04DC" w:rsidP="006B04DC">
      <w:pPr>
        <w:rPr>
          <w:rFonts w:cs="Arial"/>
        </w:rPr>
      </w:pPr>
    </w:p>
    <w:p w14:paraId="0DC717CF" w14:textId="77777777" w:rsidR="006B04DC" w:rsidRDefault="006B04DC" w:rsidP="006B04DC">
      <w:pPr>
        <w:rPr>
          <w:rFonts w:cs="Arial"/>
        </w:rPr>
      </w:pPr>
    </w:p>
    <w:p w14:paraId="29E9170C" w14:textId="77777777" w:rsidR="006B04DC" w:rsidRDefault="006B04DC" w:rsidP="006B04DC">
      <w:pPr>
        <w:rPr>
          <w:rFonts w:cs="Arial"/>
        </w:rPr>
      </w:pPr>
    </w:p>
    <w:p w14:paraId="6E25FFB3" w14:textId="77777777" w:rsidR="006B04DC" w:rsidRDefault="006B04DC" w:rsidP="006B04DC">
      <w:pPr>
        <w:rPr>
          <w:rFonts w:cs="Arial"/>
        </w:rPr>
      </w:pPr>
    </w:p>
    <w:p w14:paraId="42CF55C9" w14:textId="77777777" w:rsidR="006B04DC" w:rsidRDefault="006B04DC" w:rsidP="006B04DC">
      <w:pPr>
        <w:rPr>
          <w:rFonts w:cs="Arial"/>
        </w:rPr>
      </w:pPr>
    </w:p>
    <w:p w14:paraId="271ADF41" w14:textId="77777777" w:rsidR="006B04DC" w:rsidRDefault="006B04DC" w:rsidP="006B04DC">
      <w:pPr>
        <w:rPr>
          <w:rFonts w:cs="Arial"/>
        </w:rPr>
      </w:pPr>
    </w:p>
    <w:p w14:paraId="4CF39548" w14:textId="77777777" w:rsidR="006B04DC" w:rsidRDefault="006B04DC" w:rsidP="006B04DC">
      <w:pPr>
        <w:rPr>
          <w:rFonts w:cs="Arial"/>
        </w:rPr>
      </w:pPr>
    </w:p>
    <w:p w14:paraId="37B2CEBD" w14:textId="77777777" w:rsidR="006B04DC" w:rsidRDefault="006B04DC" w:rsidP="006B04DC">
      <w:pPr>
        <w:rPr>
          <w:rFonts w:cs="Arial"/>
        </w:rPr>
      </w:pPr>
    </w:p>
    <w:p w14:paraId="61B1EB7F" w14:textId="77777777" w:rsidR="006B04DC" w:rsidRDefault="006B04DC" w:rsidP="006B04DC">
      <w:pPr>
        <w:rPr>
          <w:rFonts w:cs="Arial"/>
        </w:rPr>
      </w:pPr>
    </w:p>
    <w:p w14:paraId="01A441E1" w14:textId="77777777" w:rsidR="006B04DC" w:rsidRDefault="006B04DC" w:rsidP="006B04DC">
      <w:pPr>
        <w:rPr>
          <w:rFonts w:cs="Arial"/>
        </w:rPr>
      </w:pPr>
    </w:p>
    <w:p w14:paraId="158006F1" w14:textId="77777777" w:rsidR="006B04DC" w:rsidRDefault="006B04DC" w:rsidP="006B04DC">
      <w:pPr>
        <w:rPr>
          <w:rFonts w:cs="Arial"/>
        </w:rPr>
      </w:pPr>
    </w:p>
    <w:p w14:paraId="6B9719DA" w14:textId="77777777" w:rsidR="006B04DC" w:rsidRDefault="006B04DC" w:rsidP="006B04DC">
      <w:pPr>
        <w:rPr>
          <w:rFonts w:cs="Arial"/>
        </w:rPr>
      </w:pPr>
    </w:p>
    <w:p w14:paraId="1EC79E6C" w14:textId="77777777" w:rsidR="006B04DC" w:rsidRDefault="006B04DC" w:rsidP="006B04DC">
      <w:pPr>
        <w:rPr>
          <w:rFonts w:cs="Arial"/>
        </w:rPr>
      </w:pPr>
    </w:p>
    <w:p w14:paraId="6B154569" w14:textId="77777777" w:rsidR="006B04DC" w:rsidRDefault="006B04DC" w:rsidP="006B04DC">
      <w:pPr>
        <w:rPr>
          <w:rFonts w:cs="Arial"/>
        </w:rPr>
      </w:pPr>
    </w:p>
    <w:p w14:paraId="2A14C57B" w14:textId="77777777" w:rsidR="006B04DC" w:rsidRDefault="006B04DC" w:rsidP="006B04DC">
      <w:pPr>
        <w:rPr>
          <w:rFonts w:cs="Arial"/>
        </w:rPr>
      </w:pPr>
    </w:p>
    <w:p w14:paraId="79E8CEBB" w14:textId="77777777" w:rsidR="006B04DC" w:rsidRDefault="006B04DC" w:rsidP="006B04DC">
      <w:pPr>
        <w:rPr>
          <w:rFonts w:cs="Arial"/>
        </w:rPr>
      </w:pPr>
    </w:p>
    <w:p w14:paraId="734FCDF9" w14:textId="77777777" w:rsidR="006B04DC" w:rsidRDefault="006B04DC" w:rsidP="006B04DC">
      <w:pPr>
        <w:rPr>
          <w:rFonts w:cs="Arial"/>
        </w:rPr>
      </w:pPr>
    </w:p>
    <w:p w14:paraId="579DB4FA" w14:textId="77777777" w:rsidR="006B04DC" w:rsidRDefault="006B04DC" w:rsidP="006B04DC">
      <w:pPr>
        <w:rPr>
          <w:rFonts w:cs="Arial"/>
        </w:rPr>
      </w:pPr>
    </w:p>
    <w:p w14:paraId="5834CDD6" w14:textId="77777777" w:rsidR="006B04DC" w:rsidRDefault="006B04DC" w:rsidP="006B04DC">
      <w:pPr>
        <w:rPr>
          <w:rFonts w:cs="Arial"/>
        </w:rPr>
      </w:pPr>
    </w:p>
    <w:p w14:paraId="7CC95D9C" w14:textId="77777777" w:rsidR="006B04DC" w:rsidRDefault="006B04DC" w:rsidP="006B04DC">
      <w:pPr>
        <w:rPr>
          <w:rFonts w:cs="Arial"/>
        </w:rPr>
      </w:pPr>
    </w:p>
    <w:p w14:paraId="541925D4" w14:textId="77777777" w:rsidR="006B04DC" w:rsidRDefault="006B04DC" w:rsidP="006B04DC">
      <w:pPr>
        <w:rPr>
          <w:rFonts w:cs="Arial"/>
        </w:rPr>
      </w:pPr>
    </w:p>
    <w:p w14:paraId="63CD0F1A" w14:textId="77777777" w:rsidR="006B04DC" w:rsidRDefault="006B04DC" w:rsidP="006B04DC">
      <w:pPr>
        <w:rPr>
          <w:rFonts w:cs="Arial"/>
        </w:rPr>
      </w:pPr>
    </w:p>
    <w:p w14:paraId="4CC95786" w14:textId="77777777" w:rsidR="006B04DC" w:rsidRDefault="006B04DC" w:rsidP="006B04DC">
      <w:pPr>
        <w:rPr>
          <w:rFonts w:cs="Arial"/>
        </w:rPr>
      </w:pPr>
    </w:p>
    <w:p w14:paraId="632F8BEA" w14:textId="77777777" w:rsidR="006B04DC" w:rsidRDefault="006B04DC" w:rsidP="006B04DC">
      <w:pPr>
        <w:rPr>
          <w:rFonts w:cs="Arial"/>
        </w:rPr>
      </w:pPr>
    </w:p>
    <w:p w14:paraId="321780DA" w14:textId="77777777" w:rsidR="006B04DC" w:rsidRDefault="006B04DC" w:rsidP="006B04DC">
      <w:pPr>
        <w:rPr>
          <w:rFonts w:cs="Arial"/>
        </w:rPr>
      </w:pPr>
    </w:p>
    <w:p w14:paraId="4AB6F3CD" w14:textId="77777777" w:rsidR="006B04DC" w:rsidRDefault="006B04DC" w:rsidP="006B04DC">
      <w:pPr>
        <w:rPr>
          <w:rFonts w:cs="Arial"/>
        </w:rPr>
      </w:pPr>
    </w:p>
    <w:p w14:paraId="67B3D9AF" w14:textId="77777777" w:rsidR="006B04DC" w:rsidRDefault="006B04DC" w:rsidP="006B04DC">
      <w:pPr>
        <w:rPr>
          <w:rFonts w:cs="Arial"/>
        </w:rPr>
      </w:pPr>
    </w:p>
    <w:p w14:paraId="79B30316" w14:textId="77777777" w:rsidR="006B04DC" w:rsidRDefault="006B04DC" w:rsidP="006B04DC">
      <w:pPr>
        <w:rPr>
          <w:rFonts w:cs="Arial"/>
        </w:rPr>
      </w:pPr>
    </w:p>
    <w:p w14:paraId="638A4E23" w14:textId="77777777" w:rsidR="006B04DC" w:rsidRPr="00BC6A57" w:rsidRDefault="006B04DC" w:rsidP="006B04DC"/>
    <w:p w14:paraId="4BE48B53" w14:textId="77777777" w:rsidR="006B04DC" w:rsidRDefault="006B04DC" w:rsidP="006B04DC">
      <w:pPr>
        <w:pStyle w:val="Titre2"/>
      </w:pPr>
    </w:p>
    <w:p w14:paraId="19C1DD99" w14:textId="77777777" w:rsidR="006B04DC" w:rsidRDefault="006B04DC" w:rsidP="006B04DC">
      <w:pPr>
        <w:spacing w:after="200"/>
        <w:jc w:val="left"/>
      </w:pPr>
    </w:p>
    <w:p w14:paraId="3D5F0662" w14:textId="77777777" w:rsidR="00260AD9" w:rsidRPr="00104C14" w:rsidRDefault="00260AD9" w:rsidP="00104C14">
      <w:pPr>
        <w:spacing w:after="200"/>
        <w:jc w:val="left"/>
        <w:rPr>
          <w:rFonts w:eastAsia="Times New Roman"/>
          <w:b/>
          <w:bCs/>
          <w:color w:val="000000" w:themeColor="text1"/>
          <w:sz w:val="26"/>
        </w:rPr>
      </w:pPr>
    </w:p>
    <w:sectPr w:rsidR="00260AD9" w:rsidRPr="00104C14" w:rsidSect="00822593">
      <w:headerReference w:type="default" r:id="rId8"/>
      <w:pgSz w:w="11900" w:h="16840"/>
      <w:pgMar w:top="1417" w:right="1417" w:bottom="860"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03BD9" w14:textId="77777777" w:rsidR="009F3D0D" w:rsidRDefault="009F3D0D" w:rsidP="00B87A0B">
      <w:r>
        <w:separator/>
      </w:r>
    </w:p>
  </w:endnote>
  <w:endnote w:type="continuationSeparator" w:id="0">
    <w:p w14:paraId="17BDCDCC" w14:textId="77777777" w:rsidR="009F3D0D" w:rsidRDefault="009F3D0D" w:rsidP="00B8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DC693" w14:textId="77777777" w:rsidR="009F3D0D" w:rsidRDefault="009F3D0D" w:rsidP="00B87A0B">
      <w:r>
        <w:separator/>
      </w:r>
    </w:p>
  </w:footnote>
  <w:footnote w:type="continuationSeparator" w:id="0">
    <w:p w14:paraId="045CB6D4" w14:textId="77777777" w:rsidR="009F3D0D" w:rsidRDefault="009F3D0D" w:rsidP="00B87A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4898" w14:textId="77777777" w:rsidR="00B87A0B" w:rsidRDefault="00B87A0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DC"/>
    <w:rsid w:val="00104C14"/>
    <w:rsid w:val="00260AD9"/>
    <w:rsid w:val="00402C7D"/>
    <w:rsid w:val="00567EFB"/>
    <w:rsid w:val="006B04DC"/>
    <w:rsid w:val="00822593"/>
    <w:rsid w:val="00861072"/>
    <w:rsid w:val="009408DF"/>
    <w:rsid w:val="009F3D0D"/>
    <w:rsid w:val="00B87A0B"/>
    <w:rsid w:val="00BF4C74"/>
    <w:rsid w:val="00EF7CE5"/>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C70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04DC"/>
    <w:pPr>
      <w:jc w:val="both"/>
    </w:pPr>
    <w:rPr>
      <w:rFonts w:ascii="Arial" w:eastAsiaTheme="minorEastAsia" w:hAnsi="Arial"/>
      <w:lang w:eastAsia="ja-JP"/>
    </w:rPr>
  </w:style>
  <w:style w:type="paragraph" w:styleId="Titre2">
    <w:name w:val="heading 2"/>
    <w:basedOn w:val="Normal"/>
    <w:next w:val="Normal"/>
    <w:link w:val="Titre2Car"/>
    <w:autoRedefine/>
    <w:qFormat/>
    <w:rsid w:val="006B04DC"/>
    <w:pPr>
      <w:keepNext/>
      <w:tabs>
        <w:tab w:val="left" w:pos="567"/>
        <w:tab w:val="left" w:pos="851"/>
        <w:tab w:val="left" w:pos="1134"/>
        <w:tab w:val="left" w:pos="1985"/>
        <w:tab w:val="left" w:pos="3402"/>
        <w:tab w:val="left" w:pos="3686"/>
      </w:tabs>
      <w:spacing w:before="120" w:after="120"/>
      <w:outlineLvl w:val="1"/>
    </w:pPr>
    <w:rPr>
      <w:rFonts w:eastAsia="Times New Roman"/>
      <w:b/>
      <w:bCs/>
      <w:color w:val="000000" w:themeColor="text1"/>
    </w:rPr>
  </w:style>
  <w:style w:type="paragraph" w:styleId="Titre3">
    <w:name w:val="heading 3"/>
    <w:basedOn w:val="Normal"/>
    <w:next w:val="Normal"/>
    <w:link w:val="Titre3Car"/>
    <w:autoRedefine/>
    <w:uiPriority w:val="9"/>
    <w:unhideWhenUsed/>
    <w:qFormat/>
    <w:rsid w:val="006B04DC"/>
    <w:pPr>
      <w:keepNext/>
      <w:keepLines/>
      <w:spacing w:before="200"/>
      <w:ind w:left="426"/>
      <w:outlineLvl w:val="2"/>
    </w:pPr>
    <w:rPr>
      <w:rFonts w:eastAsiaTheme="majorEastAsia"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6B04DC"/>
    <w:rPr>
      <w:rFonts w:ascii="Arial" w:eastAsia="Times New Roman" w:hAnsi="Arial"/>
      <w:b/>
      <w:bCs/>
      <w:color w:val="000000" w:themeColor="text1"/>
      <w:lang w:eastAsia="ja-JP"/>
    </w:rPr>
  </w:style>
  <w:style w:type="character" w:customStyle="1" w:styleId="Titre3Car">
    <w:name w:val="Titre 3 Car"/>
    <w:basedOn w:val="Policepardfaut"/>
    <w:link w:val="Titre3"/>
    <w:uiPriority w:val="9"/>
    <w:rsid w:val="006B04DC"/>
    <w:rPr>
      <w:rFonts w:ascii="Arial" w:eastAsiaTheme="majorEastAsia" w:hAnsi="Arial" w:cstheme="majorBidi"/>
      <w:b/>
      <w:bCs/>
      <w:lang w:eastAsia="ja-JP"/>
    </w:rPr>
  </w:style>
  <w:style w:type="paragraph" w:styleId="En-tte">
    <w:name w:val="header"/>
    <w:basedOn w:val="Normal"/>
    <w:link w:val="En-tteCar"/>
    <w:uiPriority w:val="99"/>
    <w:unhideWhenUsed/>
    <w:rsid w:val="00B87A0B"/>
    <w:pPr>
      <w:tabs>
        <w:tab w:val="center" w:pos="4536"/>
        <w:tab w:val="right" w:pos="9072"/>
      </w:tabs>
    </w:pPr>
  </w:style>
  <w:style w:type="character" w:customStyle="1" w:styleId="En-tteCar">
    <w:name w:val="En-tête Car"/>
    <w:basedOn w:val="Policepardfaut"/>
    <w:link w:val="En-tte"/>
    <w:uiPriority w:val="99"/>
    <w:rsid w:val="00B87A0B"/>
    <w:rPr>
      <w:rFonts w:ascii="Arial" w:eastAsiaTheme="minorEastAsia" w:hAnsi="Arial"/>
      <w:lang w:eastAsia="ja-JP"/>
    </w:rPr>
  </w:style>
  <w:style w:type="paragraph" w:styleId="Pieddepage">
    <w:name w:val="footer"/>
    <w:basedOn w:val="Normal"/>
    <w:link w:val="PieddepageCar"/>
    <w:uiPriority w:val="99"/>
    <w:unhideWhenUsed/>
    <w:rsid w:val="00B87A0B"/>
    <w:pPr>
      <w:tabs>
        <w:tab w:val="center" w:pos="4536"/>
        <w:tab w:val="right" w:pos="9072"/>
      </w:tabs>
    </w:pPr>
  </w:style>
  <w:style w:type="character" w:customStyle="1" w:styleId="PieddepageCar">
    <w:name w:val="Pied de page Car"/>
    <w:basedOn w:val="Policepardfaut"/>
    <w:link w:val="Pieddepage"/>
    <w:uiPriority w:val="99"/>
    <w:rsid w:val="00B87A0B"/>
    <w:rPr>
      <w:rFonts w:ascii="Arial" w:eastAsiaTheme="minorEastAsia" w:hAnsi="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1041</Words>
  <Characters>5727</Characters>
  <Application>Microsoft Macintosh Word</Application>
  <DocSecurity>0</DocSecurity>
  <Lines>47</Lines>
  <Paragraphs>13</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
      <vt:lpstr>    La protection des eaux souterraines</vt:lpstr>
      <vt:lpstr>        5.2.1 Exigences légales</vt:lpstr>
      <vt:lpstr>        5.2.2 Principes de gestion en faveur de la protection des eaux souterraines</vt:lpstr>
      <vt:lpstr>    </vt:lpstr>
    </vt:vector>
  </TitlesOfParts>
  <LinksUpToDate>false</LinksUpToDate>
  <CharactersWithSpaces>6755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5</cp:revision>
  <dcterms:created xsi:type="dcterms:W3CDTF">2017-06-15T13:56:00Z</dcterms:created>
  <dcterms:modified xsi:type="dcterms:W3CDTF">2017-06-16T13:34:00Z</dcterms:modified>
</cp:coreProperties>
</file>